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附件</w:t>
      </w:r>
      <w:r>
        <w:rPr>
          <w:rFonts w:ascii="Times New Roman" w:hAnsi="Times New Roman" w:eastAsia="仿宋" w:cs="Times New Roman"/>
          <w:sz w:val="28"/>
          <w:szCs w:val="28"/>
        </w:rPr>
        <w:t>2</w:t>
      </w:r>
      <w:r>
        <w:rPr>
          <w:rFonts w:hint="eastAsia" w:ascii="Times New Roman" w:hAnsi="Times New Roman" w:eastAsia="仿宋" w:cs="Times New Roman"/>
          <w:sz w:val="28"/>
          <w:szCs w:val="28"/>
        </w:rPr>
        <w:t>：</w:t>
      </w:r>
      <w:r>
        <w:rPr>
          <w:rFonts w:ascii="Arial" w:hAnsi="Arial" w:cs="Arial"/>
          <w:sz w:val="28"/>
          <w:szCs w:val="28"/>
        </w:rPr>
        <w:t> </w:t>
      </w:r>
    </w:p>
    <w:p>
      <w:pPr>
        <w:widowControl/>
        <w:spacing w:line="315" w:lineRule="atLeast"/>
        <w:jc w:val="center"/>
        <w:rPr>
          <w:rFonts w:hint="eastAsia" w:ascii="仿宋" w:hAnsi="仿宋" w:eastAsia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/>
          <w:b/>
          <w:bCs/>
          <w:kern w:val="0"/>
          <w:sz w:val="28"/>
          <w:szCs w:val="28"/>
        </w:rPr>
        <w:t>四川汽车职业技术学院</w:t>
      </w:r>
    </w:p>
    <w:p>
      <w:pPr>
        <w:widowControl/>
        <w:spacing w:line="315" w:lineRule="atLeast"/>
        <w:jc w:val="center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b/>
          <w:bCs/>
          <w:kern w:val="0"/>
          <w:sz w:val="28"/>
          <w:szCs w:val="28"/>
        </w:rPr>
        <w:t>2020届各专业毕业生基本情况</w:t>
      </w:r>
    </w:p>
    <w:tbl>
      <w:tblPr>
        <w:tblStyle w:val="4"/>
        <w:tblW w:w="9269" w:type="dxa"/>
        <w:jc w:val="center"/>
        <w:tblInd w:w="-624" w:type="dxa"/>
        <w:tblBorders>
          <w:top w:val="single" w:color="000000" w:sz="6" w:space="0"/>
          <w:left w:val="single" w:color="000000" w:sz="6" w:space="0"/>
          <w:bottom w:val="single" w:color="auto" w:sz="4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7"/>
        <w:gridCol w:w="974"/>
        <w:gridCol w:w="632"/>
        <w:gridCol w:w="585"/>
        <w:gridCol w:w="602"/>
        <w:gridCol w:w="3388"/>
        <w:gridCol w:w="2641"/>
      </w:tblGrid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4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Cs w:val="21"/>
              </w:rPr>
              <w:t>序号</w:t>
            </w:r>
          </w:p>
        </w:tc>
        <w:tc>
          <w:tcPr>
            <w:tcW w:w="974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Cs w:val="21"/>
              </w:rPr>
              <w:t>专业</w:t>
            </w:r>
          </w:p>
        </w:tc>
        <w:tc>
          <w:tcPr>
            <w:tcW w:w="63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Cs w:val="21"/>
              </w:rPr>
              <w:t>毕业生数</w:t>
            </w:r>
          </w:p>
        </w:tc>
        <w:tc>
          <w:tcPr>
            <w:tcW w:w="585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Cs w:val="21"/>
              </w:rPr>
              <w:t>男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Cs w:val="21"/>
              </w:rPr>
              <w:t>女</w:t>
            </w:r>
          </w:p>
        </w:tc>
        <w:tc>
          <w:tcPr>
            <w:tcW w:w="33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Cs w:val="21"/>
              </w:rPr>
              <w:t>主要课程</w:t>
            </w:r>
          </w:p>
        </w:tc>
        <w:tc>
          <w:tcPr>
            <w:tcW w:w="26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Cs w:val="21"/>
              </w:rPr>
              <w:t>就业方向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4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74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汽车检测与维修技术</w:t>
            </w:r>
          </w:p>
        </w:tc>
        <w:tc>
          <w:tcPr>
            <w:tcW w:w="63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460</w:t>
            </w:r>
          </w:p>
        </w:tc>
        <w:tc>
          <w:tcPr>
            <w:tcW w:w="585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430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33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启动系统的检测诊断、电喷发动机供油检测、汽车四轮定位、自动变速器拆装、汽车二级维护、汽车空调制冷剂加注、汽车钣金等</w:t>
            </w:r>
          </w:p>
        </w:tc>
        <w:tc>
          <w:tcPr>
            <w:tcW w:w="26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具备汽车检测、维护和维修的基础理论知识和综合岗位技能,能从事整车检测、汽车维护以及故障诊排等工作。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4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74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汽车技术服务与营销</w:t>
            </w:r>
          </w:p>
        </w:tc>
        <w:tc>
          <w:tcPr>
            <w:tcW w:w="63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168</w:t>
            </w:r>
          </w:p>
        </w:tc>
        <w:tc>
          <w:tcPr>
            <w:tcW w:w="585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104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64</w:t>
            </w:r>
          </w:p>
        </w:tc>
        <w:tc>
          <w:tcPr>
            <w:tcW w:w="33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车辆介绍、试乘试驾、服务接待、二手车评估、查勘、定损、保险理赔、顾客需求分析等</w:t>
            </w:r>
          </w:p>
        </w:tc>
        <w:tc>
          <w:tcPr>
            <w:tcW w:w="26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主要就业面向汽车4S店、汽车零部件制造销售企业、汽车售后服务、汽车保险公司、公估机构等优势企业。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4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974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汽车运用技术</w:t>
            </w:r>
          </w:p>
        </w:tc>
        <w:tc>
          <w:tcPr>
            <w:tcW w:w="63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55</w:t>
            </w:r>
          </w:p>
        </w:tc>
        <w:tc>
          <w:tcPr>
            <w:tcW w:w="585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33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汽车机械基础、汽车材料、汽车维修接待、汽车运用技术、二手车鉴定与评估、汽车维护与保养、汽车服务企业管理、汽车配件与物流管理、事故车鉴定与评估等</w:t>
            </w:r>
          </w:p>
        </w:tc>
        <w:tc>
          <w:tcPr>
            <w:tcW w:w="26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能适应汽车运用与维修技术相关专业工作岗位，具有汽车维修、运行、售后服务等工作技能和能力，能满足营运企业销售、接待、管理和服务的需要，主要就业面向汽车售后服务、汽车保险公司、汽车养护企业、车辆评估机构等优势企业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44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974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新能源汽车技术</w:t>
            </w:r>
          </w:p>
        </w:tc>
        <w:tc>
          <w:tcPr>
            <w:tcW w:w="63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492</w:t>
            </w:r>
          </w:p>
        </w:tc>
        <w:tc>
          <w:tcPr>
            <w:tcW w:w="585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484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33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能源汽车发动机构造与维修、新能源汽车电气设备构造与维修、新能源汽车底盘构造与维修。电动汽车动力电池及电源管理、新能源汽车驱动电机与控制技术、新能源汽车构造原理与故障诊断、新能源汽车服务等</w:t>
            </w:r>
          </w:p>
        </w:tc>
        <w:tc>
          <w:tcPr>
            <w:tcW w:w="26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具备新能源汽车整车制造、检测、维修，电源管理和维护的基础理论知识。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44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974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机械制造与自动化</w:t>
            </w:r>
          </w:p>
        </w:tc>
        <w:tc>
          <w:tcPr>
            <w:tcW w:w="63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52</w:t>
            </w:r>
          </w:p>
        </w:tc>
        <w:tc>
          <w:tcPr>
            <w:tcW w:w="585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49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33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单片机与接口技术、机械制造技术、机床电气控制技术、机械制造工艺学、数控机床与编程、液压与气压传动等</w:t>
            </w:r>
          </w:p>
        </w:tc>
        <w:tc>
          <w:tcPr>
            <w:tcW w:w="26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面向汽车整车制造企业、汽车零部件生产企业、专用车辆改装企业等优势企业。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44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974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汽车制造与装备技术</w:t>
            </w:r>
          </w:p>
        </w:tc>
        <w:tc>
          <w:tcPr>
            <w:tcW w:w="63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86</w:t>
            </w:r>
          </w:p>
        </w:tc>
        <w:tc>
          <w:tcPr>
            <w:tcW w:w="585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86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制造工艺学、发动机构造与维修、底盘构造与维修、汽车车身与附属设备、电气设备、汽车总装技术、汽车总线技术等</w:t>
            </w:r>
          </w:p>
        </w:tc>
        <w:tc>
          <w:tcPr>
            <w:tcW w:w="26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具有汽车总装、制造、检验、性能调试、技术管理等工作技能和能力，能满足企业一线生产、建设、管理和服务的需要，主要就业面向汽车整车制造企业、汽车零部件生产企业、专用车辆改装企业等优势企业。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9" w:hRule="atLeast"/>
          <w:jc w:val="center"/>
        </w:trPr>
        <w:tc>
          <w:tcPr>
            <w:tcW w:w="44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974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汽车电子技术</w:t>
            </w:r>
          </w:p>
        </w:tc>
        <w:tc>
          <w:tcPr>
            <w:tcW w:w="63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585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汽车电子控制技术、汽车电路分析、电气绘图及电子CAD、汽车构造、单片机原理与应用、汽车传感器与检测技术、自动控制、电子仪器测量、汽车电气设备构造与维修等</w:t>
            </w:r>
          </w:p>
        </w:tc>
        <w:tc>
          <w:tcPr>
            <w:tcW w:w="26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主要就业面向汽车制造、</w:t>
            </w:r>
            <w:r>
              <w:fldChar w:fldCharType="begin"/>
            </w:r>
            <w:r>
              <w:instrText xml:space="preserve"> HYPERLINK "http://baike.baidu.com/view/668653.htm" </w:instrText>
            </w:r>
            <w: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t>汽车维修</w:t>
            </w:r>
            <w:r>
              <w:rPr>
                <w:rFonts w:hint="eastAsia" w:ascii="宋体" w:hAnsi="宋体" w:cs="宋体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szCs w:val="21"/>
              </w:rPr>
              <w:t>和汽车电子控制部件制造部门以及电子产品整机制造企业、电子产品零部件生产企业、专用电子设备生产等优势企业。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44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974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汽车改装技术</w:t>
            </w:r>
          </w:p>
        </w:tc>
        <w:tc>
          <w:tcPr>
            <w:tcW w:w="63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585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工程力学、汽车材料、汽车车身结构及附属设备、汽车电气设备、色彩与调色、汽车涂装技术、汽车车身钣金修复技术、车身测量与校正、汽车性能与检测技术等</w:t>
            </w:r>
          </w:p>
        </w:tc>
        <w:tc>
          <w:tcPr>
            <w:tcW w:w="26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主要面向汽车制造企业、从事汽车改装设计与制造、汽车检测与管理工作、汽车维修、汽车美容、汽车销售和售后服务、汽车保险、二手车交易等相关职业领域。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44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974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应用电子技术</w:t>
            </w:r>
          </w:p>
        </w:tc>
        <w:tc>
          <w:tcPr>
            <w:tcW w:w="63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585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33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电机与拖动、 传感器与自动检测 、可编程逻辑器件(PLC)、微机原理与接口技术、电气绘图及电子CAD、电子测量技术、电子设计EDA。</w:t>
            </w:r>
          </w:p>
        </w:tc>
        <w:tc>
          <w:tcPr>
            <w:tcW w:w="26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本专业毕业生主要从事汽车电子电器线路的检测、维修、维护技术工作，以及车载汽车电子装置技术应用与维护方向的大型企业。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4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974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会计</w:t>
            </w:r>
          </w:p>
        </w:tc>
        <w:tc>
          <w:tcPr>
            <w:tcW w:w="63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117</w:t>
            </w:r>
          </w:p>
        </w:tc>
        <w:tc>
          <w:tcPr>
            <w:tcW w:w="585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73</w:t>
            </w:r>
          </w:p>
        </w:tc>
        <w:tc>
          <w:tcPr>
            <w:tcW w:w="33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出纳实务、财务会计、成本会计、纳税实务等</w:t>
            </w:r>
          </w:p>
        </w:tc>
        <w:tc>
          <w:tcPr>
            <w:tcW w:w="26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具有熟练运用现代化财务软件处理会计、统计业务的能力；能从事企事业基层一线单位出纳、会计、会计电算化、财务管理、统计、销售和仓储管理等职业岗位工作。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44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974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交通运营管理</w:t>
            </w:r>
          </w:p>
        </w:tc>
        <w:tc>
          <w:tcPr>
            <w:tcW w:w="63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585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33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交通工程实务、交通运输法规、运输经济实务、运输企业统计、物流运输管理、运输市场营销、运输组织技术、城市公共交通营运管理、汽车站务管理、交通港站与枢纽等</w:t>
            </w:r>
          </w:p>
        </w:tc>
        <w:tc>
          <w:tcPr>
            <w:tcW w:w="26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主要面向道路旅客运输企业、道路货物运输企业、城市公交系统、地铁公司、城际轨道交通运输企业，从事客运组织业务、货物运输组织业务、车辆运行调度、站务管理业务、运输安全管理业务等工作。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44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974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物流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</w:t>
            </w:r>
          </w:p>
        </w:tc>
        <w:tc>
          <w:tcPr>
            <w:tcW w:w="63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33</w:t>
            </w:r>
          </w:p>
        </w:tc>
        <w:tc>
          <w:tcPr>
            <w:tcW w:w="585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33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物流运输管理、物流市场营销、物流设施与设备、物流信息管理、</w:t>
            </w:r>
            <w:r>
              <w:rPr>
                <w:rFonts w:hint="eastAsia" w:ascii="宋体" w:hAnsi="宋体" w:cs="宋体"/>
                <w:szCs w:val="21"/>
              </w:rPr>
              <w:t>物流成本管、库存与仓储管理理、供应链管理、配送与配送中心、第三方物流</w:t>
            </w:r>
          </w:p>
        </w:tc>
        <w:tc>
          <w:tcPr>
            <w:tcW w:w="26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具有现代物流仓储、配送、运输、货运代理等岗位的操作及管理能力；主要集中在第三方物流企业从事仓储、配送、运输、货运代理等岗位的操作及管理工作。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1" w:hRule="atLeast"/>
          <w:jc w:val="center"/>
        </w:trPr>
        <w:tc>
          <w:tcPr>
            <w:tcW w:w="44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974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财务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</w:t>
            </w:r>
          </w:p>
        </w:tc>
        <w:tc>
          <w:tcPr>
            <w:tcW w:w="63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78</w:t>
            </w:r>
          </w:p>
        </w:tc>
        <w:tc>
          <w:tcPr>
            <w:tcW w:w="585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56</w:t>
            </w:r>
          </w:p>
        </w:tc>
        <w:tc>
          <w:tcPr>
            <w:tcW w:w="33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出纳实务、财务会计、成本会计、纳税实务等</w:t>
            </w:r>
          </w:p>
        </w:tc>
        <w:tc>
          <w:tcPr>
            <w:tcW w:w="26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具有会计电算化，会计基础理论知识的相关专业业务能力；具有熟练运用现代化财务软件处理会计、统计业务的能力；能从事企事业基层一线单位出纳、会计、会计电算化、财务管理、统计、销售和仓储管理等职业岗位工作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44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974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商务</w:t>
            </w:r>
          </w:p>
        </w:tc>
        <w:tc>
          <w:tcPr>
            <w:tcW w:w="63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585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33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电子商务概论、网页设计、网络营销实务、电子商务管理实务、ERP与客户关系管理、电子商务物流管理、电子商务网站建设等</w:t>
            </w:r>
          </w:p>
        </w:tc>
        <w:tc>
          <w:tcPr>
            <w:tcW w:w="26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大中型商务网站的网络信息员、客服工作人员、电子商务物流与配送人员、自主开设网店等。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44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974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工商企业管理</w:t>
            </w:r>
          </w:p>
        </w:tc>
        <w:tc>
          <w:tcPr>
            <w:tcW w:w="63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585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33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</w:rPr>
              <w:t>现代中小企业管理，人力资源管理，企业战略管理，市场营销策划，生产运作管理</w:t>
            </w:r>
          </w:p>
        </w:tc>
        <w:tc>
          <w:tcPr>
            <w:tcW w:w="26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本专业主要面向市场营销，人力资源管理等岗位方向。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44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974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道路桥梁工程技术</w:t>
            </w:r>
          </w:p>
        </w:tc>
        <w:tc>
          <w:tcPr>
            <w:tcW w:w="63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585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工程测量技术、土力学与地基、桥梁工程、工程项目管理、路基路面工程、隧道工程技术等</w:t>
            </w:r>
          </w:p>
        </w:tc>
        <w:tc>
          <w:tcPr>
            <w:tcW w:w="26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面向道桥施工企业、道桥工程监理公司、道桥技术咨询公司、道桥实验室、交通工程建设与养护公司、道路运营与管理公司从事工程施工与管理等工作。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44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974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动漫制作技术</w:t>
            </w:r>
          </w:p>
        </w:tc>
        <w:tc>
          <w:tcPr>
            <w:tcW w:w="63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585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3388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 w:line="450" w:lineRule="atLeast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运动规律、角色表演与动作设计、</w:t>
            </w:r>
          </w:p>
          <w:p>
            <w:pPr>
              <w:pStyle w:val="3"/>
              <w:shd w:val="clear" w:color="auto" w:fill="FFFFFF"/>
              <w:spacing w:before="0" w:beforeAutospacing="0" w:after="0" w:afterAutospacing="0" w:line="450" w:lineRule="atLeast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二维动画基础、三维动画基础、影视动画后期渲染与特效制作、游戏动画设计</w:t>
            </w:r>
          </w:p>
        </w:tc>
        <w:tc>
          <w:tcPr>
            <w:tcW w:w="26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掌握动漫制作技术专业的角色造型、场景设计、动画设计、UI设计、影视后期设计、三维设计等知识与技术技能，面向动漫制作技术行业的高素质劳动者和技术技能人才。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44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974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造价</w:t>
            </w:r>
          </w:p>
        </w:tc>
        <w:tc>
          <w:tcPr>
            <w:tcW w:w="63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585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33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建筑工程计量计价、招投标与合同管理、建筑经济、道路工程计量计价、安装工程计量计价</w:t>
            </w:r>
          </w:p>
        </w:tc>
        <w:tc>
          <w:tcPr>
            <w:tcW w:w="26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专业培养的人才主要面向造价工程师助理(造价员)，分布在建设单位、施工企业、设计部门、监理公司、咨询公司、工程造价管理等部门，主要从事工程预决算的编制工作，能够熟练运用计算机和应用软件进行工程计量、计价和招投标文件的编制等工作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44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974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建设工程管理</w:t>
            </w:r>
          </w:p>
        </w:tc>
        <w:tc>
          <w:tcPr>
            <w:tcW w:w="632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585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3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建筑施工组织与管理、工程招投标与合同管理、建筑工程质量验收、建筑工程资料管理、建筑施工技术</w:t>
            </w:r>
          </w:p>
        </w:tc>
        <w:tc>
          <w:tcPr>
            <w:tcW w:w="26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本专业培养的人才能够胜任施工员、测量员、材料员、质检员、安全员、造价员等岗位的工作。</w:t>
            </w:r>
          </w:p>
        </w:tc>
      </w:tr>
    </w:tbl>
    <w:p>
      <w:pPr>
        <w:pStyle w:val="2"/>
        <w:spacing w:before="215" w:line="364" w:lineRule="auto"/>
        <w:ind w:right="1534"/>
        <w:jc w:val="right"/>
        <w:rPr>
          <w:rFonts w:ascii="仿宋" w:hAnsi="仿宋" w:eastAsia="仿宋" w:cs="仿宋"/>
          <w:sz w:val="21"/>
          <w:szCs w:val="21"/>
          <w:lang w:val="en-US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24510"/>
    <w:rsid w:val="3A62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autoSpaceDE w:val="0"/>
      <w:autoSpaceDN w:val="0"/>
      <w:ind w:left="120"/>
      <w:jc w:val="left"/>
    </w:pPr>
    <w:rPr>
      <w:rFonts w:ascii="仿宋_GB2312" w:hAnsi="仿宋_GB2312" w:eastAsia="仿宋_GB2312" w:cs="仿宋_GB2312"/>
      <w:kern w:val="0"/>
      <w:sz w:val="32"/>
      <w:szCs w:val="32"/>
      <w:lang w:val="zh-CN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2019-10-09T02:59:00Z</dcterms:created>
  <dc:creator>Administrator</dc:creator>
  <cp:lastModifiedBy>Administrator</cp:lastModifiedBy>
  <dcterms:modified xsi:type="dcterms:W3CDTF">2019-10-09T03:00:04Z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